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拉萨市</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关于加快解决不动产登记若干</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历史遗留问题的</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实施</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根据《自然资源部关于加快解决不动产登记若干历史遗留问题的通知》（自然资发〔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）和《西藏自治区自然资源厅关于加快处理不动产登记历史遗留问题的指导意见》（藏自然资〔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文件精神，为践行以人民为中心的发展思想，进一步加快解决因历史遗留问题导致的不动产“登记难”，切实维护不动产权利人的合法权益，结合我市实际，现提出如下意见：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以习近平新时代中国特色社会主义思想为指导，全面贯彻落实党的二十大和二十届历次全会精神，认真贯彻落实西藏自治区党委、政府和自然资源部的决策部署，依据《中华人民共和国民法典》《中华人民共和国土地管理法》、《中华人民共和国城乡规划法》《中华人民共和国土地管理法实施条例》《不动产登记暂行条例》</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《西藏自治区实施&lt;中华人民共和国土地管理法&gt;办法》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等法律法规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按照“依法登记、尊重历史”的原则，将破解我市不动产登记历史遗留问题作为重大改革事项，坚持“政府主导、上下联动，以人为本、实事求是，分类处置、先易后难”的原则，通过建立协作高效的体制机制、制定出台切实可行的政策措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集中力量妥善解决我市城镇住宅不动产登记历史遗留问题。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（一）尊重历史，实事求是。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在解决历史遗留问题时，应客观分析问题产生时的背景原因和当时的政策规定，科学稳妥地予以评估、认定、处置和确权。处置过程中，坚持以方便快捷、优化服务、易于操作为目标，同时以法律法规为政策底线，严控范围，防止违法违规行为借机搭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（二）以人为本，安全第一。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始终本着以人民为中心的思想，充分考虑群众需求，切实解决群众反映的不动产登记难点、堵点问题，同时确保将人民生命财产安全放在首位，对影响建筑主体质量安全、消防安全和对国土空间规划等有影响的，在消除影响后才予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（三）分类处置，先易后难。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处理不动产登记历史遗留问题工作坚持以问题为导向，全面梳理问题，分类整理建档，建立统一台账，先易后难，突出重点，对涉及群众面广、影响范围大的复杂难点问题，实行“一案一议”，成熟一个处理完善一个，逐步统筹推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（四）属地化解，加强协作。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属地政府作为化解不动产历史遗留问题的责任主体，主动作为，统筹推进。各级各有关部门各司其职、通力协作，落实责任，形成工作合力，积极消化问题存量，严控问题增量。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三、适用范围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拉萨市行政辖区范围内国有土地上建设的城镇住宅，土地、房屋权属清晰无争议，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项目于《自然资源部关于加快解决不动产登记若干历史遗留问题的通知》（自然资发〔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）发布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时间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2021年1月4日前建成并已出售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因相关原因不能办理不动产登记的，纳入本次处置范围。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四、申请主体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原开发单位存在的，由原开发建设单位提出申请；原开发单位已被吊销营业执照或已注销且无承继单位的，可以由不动产所在地县级人民政府指定的机构或组织代为申请办理，首次登记与转移登记可一并办理，并在登记簿中对权利主体灭失情况予以记载。已办理首次登记，开发单位已经灭失的，购房人可单方申请办理转移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政府机关、事业单位、国有企业自行开发建设或利用自有土地与其他单位联建的，由原单位申请；原单位不存在的，由承继单位或上级主管部门申请，没有承继单位和上级主管部门的，可以由不动产所在地县级人民政府指定的机构或组织代为申请办理，首次登记与转移登记可一并办理，并在登记簿中对权利主体灭失情况予以记载。已办理首次登记，有关单位已经灭失的，购房人可单方申请办理转移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3.有两个或两个以上开发单位的，合作一方（多方）已被吊销营业执照或者已注销且无承继单位的，可以由剩余方申请。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4.个人在国有建设用地上自建的房屋，由本人直接提出申请。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五、化解政策和工作措施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自然资源部门要主动进行地籍调查，在核实土地权属来源，明确土地利用性质，确定办证主体的基础上分类处理。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（一）关于用地手续不完善的问题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1.政府主导的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安置房、棚改房、经济适用房、集资房等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政策性住房项目用地手续不完善的，由建设单位或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其他办理主体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提出申请，在满足市县城市规划控制约束条件下，按照实际使用情况现场勘界确定范围，确认四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至界限</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无异议的，可按照划拨、协议出让等方式补办用地手续。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2.国家机关、企事业单位利用自有土地建设房改房、集资房的，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由建设单位或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其他办理主体凭项目立项依据或其他证明材料提出申请，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可按划拨方式补办用地手续。在为房屋所有权人办理不动产登记手续时，简化审批手续，由住建部门认定，以购房协议确定权利人，无购房协议的由权利人所在国家机关、企事业单位补签购房协议或以单位认定的购房花名册、缴费证明材料为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3.其他建设项目用地手续不完善的，可以结合项目实际情况，分不同时间段、不同类型分别采取划拨、协议出让等方式补办用地手续。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符合《划拨用地目录》规定的，按照划拨方式补办用地手续；不符合国家《划拨用地目录》规定或在国家《划拨用地目录》发布实施前建造完成，符合项目建成时期或正在实施的土地利用总体规划或城市规划的，按照协议出让方式补办用地手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涉及违法用地的，按项目建设时的有关政策依法依规处理后，按程序依法办理手续。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4.已办理房屋所有权登记，因相关原因未办理土地手续的，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按照实际使用情况现场勘界确定范围，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占用土地的宗地经公告权属界线清晰无争议，权属来源证明材料报经市、县（区）人民政府同意，可直接按现状核发用地划拨决定书或者补办协议出让手续。对于房屋所有权已经转移登记到购房人名下的，按照“地随房走”的原则，经房屋所在地不动产登记部门审核同意，直接为房屋所有权人办理不动产登记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需办理划拨转出让时，经市、县（区）人民政府同意后，由用地单位统一申请办理土地出让手续。补办用地手续需要补缴土地价款的，由建设单位或其他办理主体按规定缴纳，补缴土地价款以项目动工开发时间作为评估时点和根据补办用地的各项指标由第三方评估机构评估确定，划拨价款按项目建设时间的有关政策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（二）关于欠缴土地出让价款和相关税费的问题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房屋已销售且已入住的住宅项目，开发单位未按出让合同约定足额缴纳土地出让价款，以及将经济适用房等政策性住房按商品房对外出售但未补缴土地出让价款，或者开发单位欠缴税费的，市、县（区）自然资源主管部门将处置方案报经人民政府同意后，可按照“证缴分离”原则，在税务等部门追缴土地出让价款和税费的同时，办理不动产登记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2.房屋尚未入住的住宅项目，开发单位未按照规定缴纳土地出让价款和相关税费的，以及划拨土地上自建房擅自对外出售，未补缴土地出让价款的，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补缴土地价款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应当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以项目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动工开发时间作为评估时点，依法依规追缴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所欠价款和税费后，方可办理不动产登记。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（三）关于土地用途不一致的问题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对经过批准改变原土地用途或经批准的建设项目与土地用途不一致，但未及时办理相关手续的项目，由市、县（区）自然资源主管部门报经人民政府同意后，按照项目实际完善用地手续，建设单位或其他办理主体按规定补缴土地出让价款和相关税费。土地价款以项目动工开发时间作为评估时点，依法依规追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对改变原土地用途，改变后的土地用途符合正在实施的市县国土空间规划或控制性详细规划的，由市、县（区）自然资源主管部门报经人民政府同意，按照项目实际完善用地手续，建设单位或其他办理主体按规定补缴土地出让价款和相关税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土地价款以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项目动工开发时间作为评估时点，依法依规追缴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改变后的土地用途不符合正在实施的市县国土空间规划或控制性详细规划的，在不影响城市安全、不占用永久基本农田和禁止建设区、不突破生态保护红线的前提下，依法依规处理后，由市、县（区）自然资源主管部门报经人民政府同意，按照项目实际完善用地手续，建设单位或其他办理主体按规定补缴土地出让价款和相关税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土地价款以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项目动工开发时间作为评估时点，依法依规追缴。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改变后的土地用途后期直接纳入到国土空间规划或控制性详细规划中。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（四）关于未通过建设工程规划核实的问题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1.对于按规定能够补办规划验收等手续的，应当依法依规处理并补办相关核实手续后办理不动产登记。</w:t>
      </w:r>
    </w:p>
    <w:p>
      <w:pPr>
        <w:keepNext w:val="0"/>
        <w:keepLines w:val="0"/>
        <w:pageBreakBefore w:val="0"/>
        <w:widowControl w:val="0"/>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1.1建设项目对规划实施无影响或尚可采取改正措施消除对规划实施影响的，</w:t>
      </w:r>
      <w:r>
        <w:rPr>
          <w:rFonts w:hint="eastAsia" w:ascii="宋体" w:hAnsi="宋体" w:eastAsia="方正仿宋_GBK" w:cs="方正仿宋_GBK"/>
          <w:color w:val="000000" w:themeColor="text1"/>
          <w:sz w:val="32"/>
          <w:szCs w:val="32"/>
          <w:lang w:val="en-US" w:eastAsia="zh-CN"/>
          <w14:textFill>
            <w14:solidFill>
              <w14:schemeClr w14:val="tx1"/>
            </w14:solidFill>
          </w14:textFill>
        </w:rPr>
        <w:t>应当处存在违反城乡规划事实的建筑物、构筑物违法部分工程造价5%-10%罚款的情形：</w:t>
      </w:r>
    </w:p>
    <w:p>
      <w:pPr>
        <w:keepNext w:val="0"/>
        <w:keepLines w:val="0"/>
        <w:pageBreakBefore w:val="0"/>
        <w:widowControl w:val="0"/>
        <w:numPr>
          <w:ilvl w:val="0"/>
          <w:numId w:val="1"/>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未取得建设工程规划许可证或者未按照建设工程规划许可证规定要求进行建设，但符合控制性详细规划（无控制性详细规划的以出让合同中附的规划条件为准）中</w:t>
      </w:r>
      <w:r>
        <w:rPr>
          <w:rFonts w:hint="eastAsia" w:ascii="宋体" w:hAnsi="宋体" w:eastAsia="方正仿宋_GBK" w:cs="方正仿宋_GBK"/>
          <w:color w:val="000000" w:themeColor="text1"/>
          <w:sz w:val="32"/>
          <w:szCs w:val="32"/>
          <w:lang w:val="en-US" w:eastAsia="zh-CN"/>
          <w14:textFill>
            <w14:solidFill>
              <w14:schemeClr w14:val="tx1"/>
            </w14:solidFill>
          </w14:textFill>
        </w:rPr>
        <w:t>强制性内容</w:t>
      </w:r>
      <w:r>
        <w:rPr>
          <w:rFonts w:hint="eastAsia" w:ascii="宋体" w:hAnsi="宋体" w:eastAsia="方正仿宋_GBK" w:cs="方正仿宋_GBK"/>
          <w:color w:val="000000" w:themeColor="text1"/>
          <w:sz w:val="32"/>
          <w:szCs w:val="32"/>
          <w:lang w:val="en-US" w:eastAsia="zh-CN"/>
          <w14:textFill>
            <w14:solidFill>
              <w14:schemeClr w14:val="tx1"/>
            </w14:solidFill>
          </w14:textFill>
        </w:rPr>
        <w:t>，且符合消防、安全等规范标准的；</w:t>
      </w:r>
    </w:p>
    <w:p>
      <w:pPr>
        <w:keepNext w:val="0"/>
        <w:keepLines w:val="0"/>
        <w:pageBreakBefore w:val="0"/>
        <w:widowControl w:val="0"/>
        <w:numPr>
          <w:ilvl w:val="0"/>
          <w:numId w:val="1"/>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未取得建设工程规划许可证或者未按照建设工程规划许可证规定要求进行建设，且不符合控制性详细规划（无控制性详细规划的以出让合同中附的规划条件为准）中</w:t>
      </w:r>
      <w:r>
        <w:rPr>
          <w:rFonts w:hint="eastAsia" w:ascii="宋体" w:hAnsi="宋体" w:eastAsia="方正仿宋_GBK" w:cs="方正仿宋_GBK"/>
          <w:color w:val="000000" w:themeColor="text1"/>
          <w:sz w:val="32"/>
          <w:szCs w:val="32"/>
          <w:lang w:val="en-US" w:eastAsia="zh-CN"/>
          <w14:textFill>
            <w14:solidFill>
              <w14:schemeClr w14:val="tx1"/>
            </w14:solidFill>
          </w14:textFill>
        </w:rPr>
        <w:t>强制性内容</w:t>
      </w:r>
      <w:r>
        <w:rPr>
          <w:rFonts w:hint="eastAsia" w:ascii="宋体" w:hAnsi="宋体" w:eastAsia="方正仿宋_GBK" w:cs="方正仿宋_GBK"/>
          <w:color w:val="000000" w:themeColor="text1"/>
          <w:sz w:val="32"/>
          <w:szCs w:val="32"/>
          <w:lang w:val="en-US" w:eastAsia="zh-CN"/>
          <w14:textFill>
            <w14:solidFill>
              <w14:schemeClr w14:val="tx1"/>
            </w14:solidFill>
          </w14:textFill>
        </w:rPr>
        <w:t>的，但采取局部拆除等改正措施，使改正后的建设内容符合控制性详细规划（无控制性详细规划的以出让合同中附的规划条件为准），且符合消防、安全等规范标准的；</w:t>
      </w:r>
    </w:p>
    <w:p>
      <w:pPr>
        <w:keepNext w:val="0"/>
        <w:keepLines w:val="0"/>
        <w:pageBreakBefore w:val="0"/>
        <w:widowControl w:val="0"/>
        <w:numPr>
          <w:ilvl w:val="0"/>
          <w:numId w:val="1"/>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法律法规规定的其他</w:t>
      </w:r>
      <w:r>
        <w:rPr>
          <w:rFonts w:hint="eastAsia" w:ascii="宋体" w:hAnsi="宋体" w:eastAsia="方正仿宋_GBK" w:cs="方正仿宋_GBK"/>
          <w:color w:val="000000" w:themeColor="text1"/>
          <w:sz w:val="32"/>
          <w:szCs w:val="32"/>
          <w:lang w:val="en-US" w:eastAsia="zh-CN"/>
          <w14:textFill>
            <w14:solidFill>
              <w14:schemeClr w14:val="tx1"/>
            </w14:solidFill>
          </w14:textFill>
        </w:rPr>
        <w:t>认定为尚可采取改正措施消除对规划实施影响的情形。</w:t>
      </w:r>
    </w:p>
    <w:p>
      <w:pPr>
        <w:keepNext w:val="0"/>
        <w:keepLines w:val="0"/>
        <w:pageBreakBefore w:val="0"/>
        <w:widowControl w:val="0"/>
        <w:kinsoku/>
        <w:wordWrap/>
        <w:overflowPunct/>
        <w:topLinePunct/>
        <w:autoSpaceDE/>
        <w:autoSpaceDN/>
        <w:bidi w:val="0"/>
        <w:adjustRightInd/>
        <w:snapToGrid/>
        <w:spacing w:line="576" w:lineRule="exact"/>
        <w:ind w:firstLine="640" w:firstLineChars="200"/>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1.2无法采取改正措施消除对规划实施影响，应当拆除违法建设的情形：</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建设内容不符合控制性详细规划（无控制性详细规划的以出让合同中附的规划条件为准），</w:t>
      </w:r>
      <w:r>
        <w:rPr>
          <w:rFonts w:hint="eastAsia" w:ascii="宋体" w:hAnsi="宋体" w:eastAsia="方正仿宋_GBK" w:cs="方正仿宋_GBK"/>
          <w:color w:val="000000" w:themeColor="text1"/>
          <w:sz w:val="32"/>
          <w:szCs w:val="32"/>
          <w:lang w:val="en-US" w:eastAsia="zh-CN"/>
          <w14:textFill>
            <w14:solidFill>
              <w14:schemeClr w14:val="tx1"/>
            </w14:solidFill>
          </w14:textFill>
        </w:rPr>
        <w:t>出现不符合强制性内容的情况，</w:t>
      </w:r>
      <w:r>
        <w:rPr>
          <w:rFonts w:hint="eastAsia" w:ascii="宋体" w:hAnsi="宋体" w:eastAsia="方正仿宋_GBK" w:cs="方正仿宋_GBK"/>
          <w:color w:val="000000" w:themeColor="text1"/>
          <w:sz w:val="32"/>
          <w:szCs w:val="32"/>
          <w:lang w:val="en-US" w:eastAsia="zh-CN"/>
          <w14:textFill>
            <w14:solidFill>
              <w14:schemeClr w14:val="tx1"/>
            </w14:solidFill>
          </w14:textFill>
        </w:rPr>
        <w:t>以及不符合消防、安全等规范标准的，也无法采取改正措施消除对规划实施影响的违法建设部分；</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未经批准的临时建筑物（构筑物），或者临时建筑物（构筑物）超过批准期限未拆除的；</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侵占道路、消防通道、广场、水电气管道等公共设施用地和各类重点保护区域或严重破坏生态环境的；</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影响相邻建筑的日照、通风、消防等，引发相邻权纠纷，造成重大社会不良影响的；</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擅自在已竣工的建筑上进行新建、改建、扩建的；</w:t>
      </w:r>
    </w:p>
    <w:p>
      <w:pPr>
        <w:keepNext w:val="0"/>
        <w:keepLines w:val="0"/>
        <w:pageBreakBefore w:val="0"/>
        <w:widowControl w:val="0"/>
        <w:numPr>
          <w:ilvl w:val="0"/>
          <w:numId w:val="2"/>
        </w:numPr>
        <w:kinsoku/>
        <w:wordWrap/>
        <w:overflowPunct/>
        <w:topLinePunct/>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法律法规规定的其他</w:t>
      </w:r>
      <w:r>
        <w:rPr>
          <w:rFonts w:hint="eastAsia" w:ascii="宋体" w:hAnsi="宋体" w:eastAsia="方正仿宋_GBK" w:cs="方正仿宋_GBK"/>
          <w:color w:val="000000" w:themeColor="text1"/>
          <w:sz w:val="32"/>
          <w:szCs w:val="32"/>
          <w:lang w:val="en-US" w:eastAsia="zh-CN"/>
          <w14:textFill>
            <w14:solidFill>
              <w14:schemeClr w14:val="tx1"/>
            </w14:solidFill>
          </w14:textFill>
        </w:rPr>
        <w:t>应当拆除的情形。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1.3应当拆除又不能拆除的，</w:t>
      </w:r>
      <w:r>
        <w:rPr>
          <w:rFonts w:hint="eastAsia" w:ascii="宋体" w:hAnsi="宋体" w:eastAsia="方正仿宋_GBK" w:cs="方正仿宋_GBK"/>
          <w:color w:val="000000" w:themeColor="text1"/>
          <w:sz w:val="32"/>
          <w:szCs w:val="32"/>
          <w:lang w:val="en-US" w:eastAsia="zh-CN"/>
          <w14:textFill>
            <w14:solidFill>
              <w14:schemeClr w14:val="tx1"/>
            </w14:solidFill>
          </w14:textFill>
        </w:rPr>
        <w:t>没收实物</w:t>
      </w:r>
      <w:r>
        <w:rPr>
          <w:rFonts w:hint="eastAsia" w:ascii="宋体" w:hAnsi="宋体" w:eastAsia="方正仿宋_GBK" w:cs="方正仿宋_GBK"/>
          <w:color w:val="000000" w:themeColor="text1"/>
          <w:sz w:val="32"/>
          <w:szCs w:val="32"/>
          <w:lang w:val="en-US" w:eastAsia="zh-CN"/>
          <w14:textFill>
            <w14:solidFill>
              <w14:schemeClr w14:val="tx1"/>
            </w14:solidFill>
          </w14:textFill>
        </w:rPr>
        <w:t>或者违法收入的情形：</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拆除将影响合法建筑物（构筑物）主体结构安全，且无法采取结构安全措施的；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受拆除技术条件和地理环境限制无法实施拆除的；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拆除将对公共利益造成重大损害或者产生其他严重后果的；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法律法规规定的其他无法拆除的情形。</w:t>
      </w:r>
    </w:p>
    <w:p>
      <w:pPr>
        <w:keepNext w:val="0"/>
        <w:keepLines w:val="0"/>
        <w:pageBreakBefore w:val="0"/>
        <w:widowControl w:val="0"/>
        <w:numPr>
          <w:ilvl w:val="0"/>
          <w:numId w:val="0"/>
        </w:numPr>
        <w:kinsoku/>
        <w:wordWrap/>
        <w:overflowPunct/>
        <w:topLinePunct/>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2.对确因建成时间较早等原因不具备补办条件的，在符合国土空间规划或城市规划的前提下，报经市、县（区）人民政府同意后，由本级自然资源主管部门按现状出具认定或核实意见的情形：</w:t>
      </w:r>
    </w:p>
    <w:p>
      <w:pPr>
        <w:keepNext w:val="0"/>
        <w:keepLines w:val="0"/>
        <w:pageBreakBefore w:val="0"/>
        <w:widowControl w:val="0"/>
        <w:numPr>
          <w:ilvl w:val="0"/>
          <w:numId w:val="0"/>
        </w:numPr>
        <w:kinsoku/>
        <w:wordWrap/>
        <w:overflowPunct/>
        <w:topLinePunct/>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（1）在划拨用地上建设的安置房、棚改房、经济适用房、集资房、房改房等项目；</w:t>
      </w:r>
    </w:p>
    <w:p>
      <w:pPr>
        <w:keepNext w:val="0"/>
        <w:keepLines w:val="0"/>
        <w:pageBreakBefore w:val="0"/>
        <w:widowControl w:val="0"/>
        <w:numPr>
          <w:ilvl w:val="0"/>
          <w:numId w:val="0"/>
        </w:numPr>
        <w:kinsoku/>
        <w:wordWrap/>
        <w:overflowPunct/>
        <w:topLinePunct/>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（2）法律法规规定其他需要按现状出具认定或核实意见的情形。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3.2008年1月1日前竣工并投入使用的房屋，在申请办理不动产首次登记时，无需提交规划验收手续。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对建设项目部分符合规划的，由所在地自然资源主管部门对符合规划的部分先行核实，并出具规划核实意见，办理不动产登记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（五）关于竣工验收手续不完善的问题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建筑工程项目能够补办竣工验收备案手续的，建设单位或其他办理主体应当按规定补办。对于项目工程质量和消防验收合格，但未取得竣工验收备案结果的，凭参建单位有效验收材料、工程质量监督报告、消防验收合格证明等材料，经住房和城乡建设主管部门审核并出具符合竣工验收的意见后，可作为房屋已竣工的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2.对需责令整改的，建设单位或其他办理主体应当按照规范要求进行整改后，住建、规划、消防部门联合验收，出具的联合验收报告，可作为房屋已竣工的材料。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3.因历史原因无法进行竣工验收的房屋，经依法依规处理后，</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由建设单位或其他办理主体委托具有相应资质的安全鉴定机构对地基、消防和房屋质量安全状况进行鉴定，出具鉴定报告。对满足建筑消防和安全要求的，鉴定报告经住建部门认定后可作为房屋已竣工的材料。鉴定结果不满足消防和安全要求的，不予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（六）关于原分散登记的房屋、土地信息不一致的问题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1.分散登记时，已经分别登记的房屋和土地用途不一致的不动产，继续分别按原记载的房屋、土地用途进行登记，未经依法批准不得改变已登记的不动产用途。</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2.因房屋所有权多次转移、土地使用权未同步转移导致房屋、土地权利主体不一致的，经核实，权属关系变动清晰且无争议的，可以根据规定程序由房屋所有人单方面申请办理房地权利主体一致的不动产登记。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对于土地使用权多次转移、房屋所有权未同步转移导致房屋、土地权利主体不一致的，经核实，权属关系变动清晰且无争议的，可以根据规定程序由土地使用权所有人单方面申请办理房地权利主体一致的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4.对于只有《国有土地使用证》或《房屋所有权证》，缺失原始档案资料的应当由原相关管理部门核实原证的真伪，并加盖确认章或出具确认意见。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（七）关于项目跨宗地建设的问题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1.房屋和土地有合法的权属来源文件，项目跨宗地建设未超出批准用地范围，无调整宗地需求的，可按照所在宗地分别办理不动产登记。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同一开发主体因依法分期或分宗取得土地使用权，跨宗地建设且符合整体开发利用条件，有合并宗地需求的，由开发主体提出合并宗地申请，报属地自然资源主管部门进行审核，需合并的宗地权利类型、权利性质、用途及土地使用期限一致的，可出具同意合并宗地意见，作为不动产登记资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涉及土地使用期限不一致的，按土地使用权终止时间在前的使用期限确定。多宗地的权利类型、权利性质、用途等不一致的，不得办理宗地合并手续。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3.有调整宗地需求的，在满足市县城市规划确定的建设用地范围内的前提下，经自然资源主管部门进行审查，对宗地边界进行调整或分割后，办理不动产登记。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意见中规定所有予以办理的登记事项，均不得存在《不动产登记暂行条例》第二十二条有关违反法律、行政法规规定的，存在尚未解决权属争议的，申请登记的不动产权利超过规定期限的，法律、行政法规规定不予登记的其他情形，上级有新规定的从新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（一）提高思想认识。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县（区）人民政府、功能园区管委会、市直各有关职能部门要进一步提高思想认识，高度重视历史遗留问题化解，以为人民群众办实事、解难题、维护人民群众合法权益为出发点和落脚点，有效化解不动产“登记难”，让人民群众的获得感成色更足、幸福感更可持续、安全感更有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（二）完善处置机制。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工作需要，各县（区）人民政府、功能园区管委会要积极推动“政府主导、部门联动”的工作机制，建立不动产登记历史遗留问题会商处置联席会议制度，对于重大事项及疑难问题，由属地政府牵头，发改、财政、税务、自然资源、住建、城管等部门参与，共同会商，形成合力，推动不动产登记历史遗留问题解决。在处置违法用地和违法建设问题时，市、县（区）自然资源主管部门通过引入第三方评估、专家审查的方式，确定违法建设对规划实施的影响程度、采取的整改措施和处罚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（三）明确工作责任。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县（区）人民政府、功能园区管委会是本行政区范围内处理不动产登记历史遗留问题的责任主体，坚持“谁审批，谁负责”原则，充分利用不动产登记历史遗留问题会商处置联席会议制度，强化统筹协调，明确政府和成员单位在工作中应承担的责任，通过建立本行政区范围内的清单台账，列出时间表对账销号，共同推进不动产登记历史遗留问题化解。对不属于不动产登记历史遗留问题处理范围的，应严格把关，不得擅自搭车违规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（四）建立长效机制。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县（区）人民政府、功能园区管委会、市直各有关职能部门要以本次解决不动产登记历史遗留问题为契机，认真查摆工作中存在的问题，总结经验做法，在今后工作中规范建设项目事前、事中、事后的监督管理，强化执法力度，杜绝类似问题重复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国有土地上已经出售的商业、办公、工业等房屋涉及的历史遗留问题可参照本指导意见执行。本指导意见自印发之日起施行，有效期5年。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1AC5B"/>
    <w:multiLevelType w:val="singleLevel"/>
    <w:tmpl w:val="D341AC5B"/>
    <w:lvl w:ilvl="0" w:tentative="0">
      <w:start w:val="1"/>
      <w:numFmt w:val="decimal"/>
      <w:suff w:val="nothing"/>
      <w:lvlText w:val="（%1）"/>
      <w:lvlJc w:val="left"/>
    </w:lvl>
  </w:abstractNum>
  <w:abstractNum w:abstractNumId="1">
    <w:nsid w:val="D3E8FA56"/>
    <w:multiLevelType w:val="singleLevel"/>
    <w:tmpl w:val="D3E8FA56"/>
    <w:lvl w:ilvl="0" w:tentative="0">
      <w:start w:val="1"/>
      <w:numFmt w:val="decimal"/>
      <w:suff w:val="nothing"/>
      <w:lvlText w:val="（%1）"/>
      <w:lvlJc w:val="left"/>
    </w:lvl>
  </w:abstractNum>
  <w:abstractNum w:abstractNumId="2">
    <w:nsid w:val="DB458261"/>
    <w:multiLevelType w:val="singleLevel"/>
    <w:tmpl w:val="DB45826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ODczNTYxZWExOWIwZjkxZmRmODA2NDQ5MzMxZGMifQ=="/>
  </w:docVars>
  <w:rsids>
    <w:rsidRoot w:val="00000000"/>
    <w:rsid w:val="004836D3"/>
    <w:rsid w:val="00583948"/>
    <w:rsid w:val="03A85275"/>
    <w:rsid w:val="03E63A70"/>
    <w:rsid w:val="04206E9F"/>
    <w:rsid w:val="04455AD9"/>
    <w:rsid w:val="04AF0AF9"/>
    <w:rsid w:val="053C5155"/>
    <w:rsid w:val="054A15F9"/>
    <w:rsid w:val="064375E3"/>
    <w:rsid w:val="066277E5"/>
    <w:rsid w:val="07DF1A48"/>
    <w:rsid w:val="080E568B"/>
    <w:rsid w:val="08463364"/>
    <w:rsid w:val="084A1910"/>
    <w:rsid w:val="08C86CCC"/>
    <w:rsid w:val="09F01DDC"/>
    <w:rsid w:val="0A1C1BD2"/>
    <w:rsid w:val="0A4723E5"/>
    <w:rsid w:val="0AC5255C"/>
    <w:rsid w:val="0B4F2E46"/>
    <w:rsid w:val="0C230CB1"/>
    <w:rsid w:val="0CD72B7B"/>
    <w:rsid w:val="0E240024"/>
    <w:rsid w:val="0F987405"/>
    <w:rsid w:val="101C1DE4"/>
    <w:rsid w:val="107F2A6C"/>
    <w:rsid w:val="10C124C5"/>
    <w:rsid w:val="1170708D"/>
    <w:rsid w:val="12AC1D26"/>
    <w:rsid w:val="134756F8"/>
    <w:rsid w:val="13CC7668"/>
    <w:rsid w:val="141F68D5"/>
    <w:rsid w:val="14EA0976"/>
    <w:rsid w:val="15F64E85"/>
    <w:rsid w:val="16FF71CE"/>
    <w:rsid w:val="17AE5F25"/>
    <w:rsid w:val="18EF4278"/>
    <w:rsid w:val="19216F41"/>
    <w:rsid w:val="19CA555A"/>
    <w:rsid w:val="19D67CC7"/>
    <w:rsid w:val="1A101E7D"/>
    <w:rsid w:val="1A3848EF"/>
    <w:rsid w:val="1A6B6BFD"/>
    <w:rsid w:val="1ACA7F8E"/>
    <w:rsid w:val="1B0B37D2"/>
    <w:rsid w:val="1B1C2008"/>
    <w:rsid w:val="1B7929FF"/>
    <w:rsid w:val="1BA84C7A"/>
    <w:rsid w:val="1CEC72DF"/>
    <w:rsid w:val="1EE2275B"/>
    <w:rsid w:val="1EFF1858"/>
    <w:rsid w:val="1F871CA1"/>
    <w:rsid w:val="1F8C0ACF"/>
    <w:rsid w:val="1F8D4E17"/>
    <w:rsid w:val="1FA37113"/>
    <w:rsid w:val="1FF425B0"/>
    <w:rsid w:val="20314964"/>
    <w:rsid w:val="21026419"/>
    <w:rsid w:val="22E04EF3"/>
    <w:rsid w:val="23C46269"/>
    <w:rsid w:val="24843548"/>
    <w:rsid w:val="253B55CD"/>
    <w:rsid w:val="25925DF2"/>
    <w:rsid w:val="26943528"/>
    <w:rsid w:val="27361586"/>
    <w:rsid w:val="284F52C0"/>
    <w:rsid w:val="28913130"/>
    <w:rsid w:val="29440952"/>
    <w:rsid w:val="29A05AD5"/>
    <w:rsid w:val="2A394F1C"/>
    <w:rsid w:val="2A746A41"/>
    <w:rsid w:val="2A9B0946"/>
    <w:rsid w:val="2AA175C6"/>
    <w:rsid w:val="2AB94EB1"/>
    <w:rsid w:val="2C001E7E"/>
    <w:rsid w:val="2DEE7C4D"/>
    <w:rsid w:val="2E09770E"/>
    <w:rsid w:val="2E796194"/>
    <w:rsid w:val="2EDA1DC6"/>
    <w:rsid w:val="2F4A3E20"/>
    <w:rsid w:val="301507F6"/>
    <w:rsid w:val="32F8145E"/>
    <w:rsid w:val="33013E58"/>
    <w:rsid w:val="34831B82"/>
    <w:rsid w:val="34B258DD"/>
    <w:rsid w:val="383C1A78"/>
    <w:rsid w:val="391411F0"/>
    <w:rsid w:val="396E4A92"/>
    <w:rsid w:val="398C1BA5"/>
    <w:rsid w:val="3A464A97"/>
    <w:rsid w:val="3A4D3499"/>
    <w:rsid w:val="3B7F3EF3"/>
    <w:rsid w:val="3BC1657A"/>
    <w:rsid w:val="3C085BE6"/>
    <w:rsid w:val="3C522566"/>
    <w:rsid w:val="3CD64F45"/>
    <w:rsid w:val="3CED0564"/>
    <w:rsid w:val="3D1F1A9F"/>
    <w:rsid w:val="3D343524"/>
    <w:rsid w:val="3E42660A"/>
    <w:rsid w:val="3EE636A0"/>
    <w:rsid w:val="3F8F7C7E"/>
    <w:rsid w:val="407D1B7C"/>
    <w:rsid w:val="40AA5B9E"/>
    <w:rsid w:val="40EB298B"/>
    <w:rsid w:val="43617533"/>
    <w:rsid w:val="43E71B8B"/>
    <w:rsid w:val="44D3620E"/>
    <w:rsid w:val="456261E9"/>
    <w:rsid w:val="45E10110"/>
    <w:rsid w:val="46EC47EB"/>
    <w:rsid w:val="477211BA"/>
    <w:rsid w:val="483E2145"/>
    <w:rsid w:val="484E50D0"/>
    <w:rsid w:val="49AF4D84"/>
    <w:rsid w:val="49E60792"/>
    <w:rsid w:val="4A3A794A"/>
    <w:rsid w:val="4BC863A1"/>
    <w:rsid w:val="4C3B35F9"/>
    <w:rsid w:val="4CD776CF"/>
    <w:rsid w:val="4DC764A9"/>
    <w:rsid w:val="4E233D62"/>
    <w:rsid w:val="50B60C7C"/>
    <w:rsid w:val="512531C7"/>
    <w:rsid w:val="51505E90"/>
    <w:rsid w:val="522E46E1"/>
    <w:rsid w:val="53223784"/>
    <w:rsid w:val="53731B44"/>
    <w:rsid w:val="544E1B5A"/>
    <w:rsid w:val="54CD00C7"/>
    <w:rsid w:val="55E5390A"/>
    <w:rsid w:val="560D514C"/>
    <w:rsid w:val="568B7793"/>
    <w:rsid w:val="56E53852"/>
    <w:rsid w:val="57071FE5"/>
    <w:rsid w:val="571660BD"/>
    <w:rsid w:val="57A504CE"/>
    <w:rsid w:val="57E23486"/>
    <w:rsid w:val="59AC7D68"/>
    <w:rsid w:val="5B447F6A"/>
    <w:rsid w:val="5BF0531D"/>
    <w:rsid w:val="5C385523"/>
    <w:rsid w:val="5DB22597"/>
    <w:rsid w:val="5E3C054F"/>
    <w:rsid w:val="5E6C2BC4"/>
    <w:rsid w:val="5F16521D"/>
    <w:rsid w:val="5F27102C"/>
    <w:rsid w:val="5F8B57F9"/>
    <w:rsid w:val="5FC44C79"/>
    <w:rsid w:val="60056797"/>
    <w:rsid w:val="60397415"/>
    <w:rsid w:val="60D23089"/>
    <w:rsid w:val="62006E12"/>
    <w:rsid w:val="626C2B36"/>
    <w:rsid w:val="62B17737"/>
    <w:rsid w:val="62BA46D1"/>
    <w:rsid w:val="64414E48"/>
    <w:rsid w:val="658B585D"/>
    <w:rsid w:val="65D32407"/>
    <w:rsid w:val="662238EE"/>
    <w:rsid w:val="670D425D"/>
    <w:rsid w:val="67881D77"/>
    <w:rsid w:val="67B1248C"/>
    <w:rsid w:val="67EF6FD4"/>
    <w:rsid w:val="68214EF7"/>
    <w:rsid w:val="68766C05"/>
    <w:rsid w:val="68CD69D0"/>
    <w:rsid w:val="69147013"/>
    <w:rsid w:val="69C92BB7"/>
    <w:rsid w:val="69DA57C5"/>
    <w:rsid w:val="6A8D511E"/>
    <w:rsid w:val="6C7B0512"/>
    <w:rsid w:val="6C7E2CF3"/>
    <w:rsid w:val="6CC31999"/>
    <w:rsid w:val="6D415D18"/>
    <w:rsid w:val="6E076AA0"/>
    <w:rsid w:val="6E8C7E10"/>
    <w:rsid w:val="6EDE1629"/>
    <w:rsid w:val="70BC3DA4"/>
    <w:rsid w:val="726775E2"/>
    <w:rsid w:val="73210EF1"/>
    <w:rsid w:val="739169D2"/>
    <w:rsid w:val="73A80301"/>
    <w:rsid w:val="74C01A5C"/>
    <w:rsid w:val="761337BF"/>
    <w:rsid w:val="76413554"/>
    <w:rsid w:val="76F37CFC"/>
    <w:rsid w:val="770462A9"/>
    <w:rsid w:val="77096855"/>
    <w:rsid w:val="7842327C"/>
    <w:rsid w:val="786C53DE"/>
    <w:rsid w:val="786D4913"/>
    <w:rsid w:val="78DC32FD"/>
    <w:rsid w:val="7A110C52"/>
    <w:rsid w:val="7AA5278C"/>
    <w:rsid w:val="7B4E1DBA"/>
    <w:rsid w:val="7E156E90"/>
    <w:rsid w:val="7EB5589B"/>
    <w:rsid w:val="7F5803FF"/>
    <w:rsid w:val="7FD1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2024-02-21T04:57:00Z</dcterms:created>
  <dc:creator>Administrator</dc:creator>
  <cp:lastModifiedBy>Administrator</cp:lastModifiedBy>
  <cp:lastPrinted>2024-04-18T11:12:37Z</cp:lastPrinted>
  <dcterms:modified xsi:type="dcterms:W3CDTF">2024-04-22T09:45:00Z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F2F982EB826C41A68D91966944A4AB6F_13</vt:lpwstr>
  </property>
</Properties>
</file>